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840B71">
        <w:rPr>
          <w:rFonts w:ascii="Arial" w:hAnsi="Arial"/>
          <w:b/>
          <w:noProof/>
          <w:sz w:val="24"/>
        </w:rPr>
        <w:t>89</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9008BB">
        <w:rPr>
          <w:rFonts w:ascii="Arial" w:hAnsi="Arial"/>
          <w:b/>
          <w:noProof/>
          <w:sz w:val="24"/>
        </w:rPr>
        <w:t>15960</w:t>
      </w:r>
      <w:bookmarkStart w:id="0" w:name="_GoBack"/>
      <w:bookmarkEnd w:id="0"/>
    </w:p>
    <w:p w:rsidR="00766472" w:rsidRPr="00571D54" w:rsidRDefault="00961AF5" w:rsidP="00766472">
      <w:hyperlink r:id="rId7" w:tgtFrame="_blank" w:history="1">
        <w:r w:rsidR="00840B71">
          <w:rPr>
            <w:rFonts w:ascii="Arial" w:hAnsi="Arial" w:cs="Arial"/>
            <w:b/>
            <w:noProof/>
            <w:sz w:val="24"/>
          </w:rPr>
          <w:t>Spokane</w:t>
        </w:r>
      </w:hyperlink>
      <w:r w:rsidR="00766472">
        <w:rPr>
          <w:rFonts w:ascii="Arial" w:hAnsi="Arial"/>
          <w:b/>
          <w:noProof/>
          <w:sz w:val="24"/>
        </w:rPr>
        <w:t xml:space="preserve">, </w:t>
      </w:r>
      <w:r w:rsidR="00840B71">
        <w:rPr>
          <w:rFonts w:ascii="Arial" w:hAnsi="Arial"/>
          <w:b/>
          <w:noProof/>
          <w:sz w:val="24"/>
        </w:rPr>
        <w:t>USA</w:t>
      </w:r>
      <w:r w:rsidR="00766472">
        <w:rPr>
          <w:rFonts w:ascii="Arial" w:hAnsi="Arial"/>
          <w:b/>
          <w:noProof/>
          <w:sz w:val="24"/>
        </w:rPr>
        <w:t xml:space="preserve">, </w:t>
      </w:r>
      <w:r w:rsidR="00840B71">
        <w:rPr>
          <w:rFonts w:ascii="Arial" w:hAnsi="Arial"/>
          <w:b/>
          <w:noProof/>
          <w:sz w:val="24"/>
        </w:rPr>
        <w:t>12</w:t>
      </w:r>
      <w:r w:rsidR="00840B71" w:rsidRPr="00840B71">
        <w:rPr>
          <w:rFonts w:ascii="Arial" w:hAnsi="Arial"/>
          <w:b/>
          <w:noProof/>
          <w:sz w:val="24"/>
          <w:vertAlign w:val="superscript"/>
        </w:rPr>
        <w:t>th</w:t>
      </w:r>
      <w:r w:rsidR="00840B71">
        <w:rPr>
          <w:rFonts w:ascii="Arial" w:hAnsi="Arial"/>
          <w:b/>
          <w:noProof/>
          <w:sz w:val="24"/>
        </w:rPr>
        <w:t xml:space="preserve"> </w:t>
      </w:r>
      <w:r w:rsidR="00A171AD">
        <w:rPr>
          <w:rFonts w:ascii="Arial" w:hAnsi="Arial"/>
          <w:b/>
          <w:noProof/>
          <w:sz w:val="24"/>
        </w:rPr>
        <w:t xml:space="preserve"> </w:t>
      </w:r>
      <w:r w:rsidR="004E7EC1">
        <w:rPr>
          <w:rFonts w:ascii="Arial" w:hAnsi="Arial"/>
          <w:b/>
          <w:noProof/>
          <w:sz w:val="24"/>
        </w:rPr>
        <w:t xml:space="preserve">– </w:t>
      </w:r>
      <w:r w:rsidR="00840B71">
        <w:rPr>
          <w:rFonts w:ascii="Arial" w:hAnsi="Arial"/>
          <w:b/>
          <w:noProof/>
          <w:sz w:val="24"/>
        </w:rPr>
        <w:t>16</w:t>
      </w:r>
      <w:r w:rsidR="00A171AD" w:rsidRPr="00A171AD">
        <w:rPr>
          <w:rFonts w:ascii="Arial" w:hAnsi="Arial"/>
          <w:b/>
          <w:noProof/>
          <w:sz w:val="24"/>
          <w:vertAlign w:val="superscript"/>
        </w:rPr>
        <w:t>th</w:t>
      </w:r>
      <w:r w:rsidR="00A171AD">
        <w:rPr>
          <w:rFonts w:ascii="Arial" w:hAnsi="Arial"/>
          <w:b/>
          <w:noProof/>
          <w:sz w:val="24"/>
        </w:rPr>
        <w:t xml:space="preserve"> </w:t>
      </w:r>
      <w:r w:rsidR="00840B71">
        <w:rPr>
          <w:rFonts w:ascii="Arial" w:hAnsi="Arial"/>
          <w:b/>
          <w:noProof/>
          <w:sz w:val="24"/>
        </w:rPr>
        <w:t>November</w:t>
      </w:r>
      <w:r w:rsidR="00766472" w:rsidRPr="00571D54">
        <w:rPr>
          <w:rFonts w:ascii="Arial" w:hAnsi="Arial"/>
          <w:b/>
          <w:noProof/>
          <w:sz w:val="24"/>
        </w:rPr>
        <w:t xml:space="preserve"> 201</w:t>
      </w:r>
      <w:r w:rsidR="00C71C6D">
        <w:rPr>
          <w:rFonts w:ascii="Arial" w:hAnsi="Arial"/>
          <w:b/>
          <w:noProof/>
          <w:sz w:val="24"/>
        </w:rPr>
        <w:t>8</w:t>
      </w:r>
    </w:p>
    <w:p w:rsidR="00766472" w:rsidRPr="0008724A" w:rsidRDefault="00766472" w:rsidP="00766472">
      <w:pPr>
        <w:spacing w:after="120"/>
        <w:ind w:left="1985" w:hanging="1985"/>
        <w:rPr>
          <w:rFonts w:ascii="Arial" w:hAnsi="Arial" w:cs="Arial"/>
          <w:b/>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926758" w:rsidRPr="00926758">
        <w:rPr>
          <w:rFonts w:ascii="Arial" w:hAnsi="Arial" w:cs="Arial"/>
          <w:lang w:val="en-US"/>
        </w:rPr>
        <w:t>Overview of Standing Wave</w:t>
      </w:r>
      <w:r w:rsidR="00926758">
        <w:rPr>
          <w:rFonts w:ascii="Arial" w:hAnsi="Arial" w:cs="Arial"/>
          <w:bCs/>
          <w:lang w:val="en-US"/>
        </w:rPr>
        <w:t xml:space="preserve"> in CATR</w:t>
      </w:r>
      <w:r w:rsidR="00397571">
        <w:rPr>
          <w:rFonts w:ascii="Arial" w:hAnsi="Arial" w:cs="Arial"/>
          <w:bCs/>
          <w:lang w:val="en-US"/>
        </w:rPr>
        <w:t xml:space="preserve"> for both sub6GHz and mmWave</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0725BE">
        <w:rPr>
          <w:rFonts w:ascii="Arial" w:hAnsi="Arial" w:cs="Arial"/>
          <w:lang w:val="it-IT"/>
        </w:rPr>
        <w:t>7</w:t>
      </w:r>
      <w:r w:rsidR="00926758">
        <w:rPr>
          <w:rFonts w:ascii="Arial" w:hAnsi="Arial" w:cs="Arial"/>
          <w:lang w:val="it-IT"/>
        </w:rPr>
        <w:t>.</w:t>
      </w:r>
      <w:r w:rsidR="000725BE">
        <w:rPr>
          <w:rFonts w:ascii="Arial" w:hAnsi="Arial" w:cs="Arial"/>
          <w:lang w:val="it-IT"/>
        </w:rPr>
        <w:t>9</w:t>
      </w:r>
      <w:r w:rsidR="00926758">
        <w:rPr>
          <w:rFonts w:ascii="Arial" w:hAnsi="Arial" w:cs="Arial"/>
          <w:lang w:val="it-IT"/>
        </w:rPr>
        <w:t>.</w:t>
      </w:r>
      <w:r w:rsidR="000725BE">
        <w:rPr>
          <w:rFonts w:ascii="Arial" w:hAnsi="Arial" w:cs="Arial"/>
          <w:lang w:val="it-IT"/>
        </w:rPr>
        <w:t>4</w:t>
      </w:r>
      <w:r w:rsidR="00926758">
        <w:rPr>
          <w:rFonts w:ascii="Arial" w:hAnsi="Arial" w:cs="Arial"/>
          <w:lang w:val="it-IT"/>
        </w:rPr>
        <w:t>.</w:t>
      </w:r>
      <w:r w:rsidR="000725BE">
        <w:rPr>
          <w:rFonts w:ascii="Arial" w:hAnsi="Arial" w:cs="Arial"/>
          <w:lang w:val="it-IT"/>
        </w:rPr>
        <w:t>2</w:t>
      </w:r>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926758">
        <w:rPr>
          <w:rFonts w:ascii="Arial" w:hAnsi="Arial" w:cs="Arial"/>
          <w:lang w:val="en-US"/>
        </w:rPr>
        <w:t>Discussion</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476636" w:rsidRDefault="00BC1115" w:rsidP="00821E4A">
      <w:r>
        <w:t>In 3GPP</w:t>
      </w:r>
      <w:r w:rsidR="00821E4A">
        <w:t xml:space="preserve">, </w:t>
      </w:r>
      <w:r w:rsidR="00186029">
        <w:t xml:space="preserve">there have been some discussions about the Standing Wave </w:t>
      </w:r>
      <w:r w:rsidR="00302986">
        <w:t xml:space="preserve">(reflections) </w:t>
      </w:r>
      <w:r w:rsidR="00186029">
        <w:t>in a CATR. This is an uncertainty term which is included in MU budget of the system setup. Uncertainty value for this contrib</w:t>
      </w:r>
      <w:r w:rsidR="008B35CD">
        <w:t>utor has been already agreed in [1]. T</w:t>
      </w:r>
      <w:r w:rsidR="00186029">
        <w:t>his contribution is go</w:t>
      </w:r>
      <w:r w:rsidR="008B35CD">
        <w:t>ing to provide justification around the uncertainty term</w:t>
      </w:r>
      <w:r w:rsidR="00186029">
        <w:t>.</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136662" w:rsidP="00AA3A90">
      <w:pPr>
        <w:pStyle w:val="Heading1"/>
        <w:numPr>
          <w:ilvl w:val="0"/>
          <w:numId w:val="4"/>
        </w:numPr>
        <w:ind w:hanging="720"/>
      </w:pPr>
      <w:r>
        <w:t>Background</w:t>
      </w:r>
    </w:p>
    <w:p w:rsidR="00AA2615" w:rsidRDefault="00AA2615" w:rsidP="00546D82">
      <w:r>
        <w:t>CATR is a test method agreed to be used for OTA conformance testing of AAS BS at sub6GHz both LTE and NR, and is supposed to be the test range reference methodology for 5G NR AAS BS at mmWave. The test method is depicted in Figure 1</w:t>
      </w:r>
      <w:r w:rsidR="00B749FF">
        <w:t>(a), and Figure 1(b) for OTA TX and OTA RX type of measurements</w:t>
      </w:r>
      <w:r>
        <w:t>:</w:t>
      </w:r>
    </w:p>
    <w:p w:rsidR="00D66B03" w:rsidRPr="00530CB2" w:rsidRDefault="000D3BDF" w:rsidP="000D3BDF">
      <w:pPr>
        <w:pStyle w:val="TH"/>
      </w:pPr>
      <w:r>
        <w:rPr>
          <w:noProof/>
          <w:lang w:val="en-US"/>
        </w:rPr>
        <w:drawing>
          <wp:anchor distT="0" distB="0" distL="114300" distR="114300" simplePos="0" relativeHeight="251659264" behindDoc="0" locked="0" layoutInCell="1" allowOverlap="1" wp14:anchorId="283B710A" wp14:editId="0B6C5E02">
            <wp:simplePos x="0" y="0"/>
            <wp:positionH relativeFrom="column">
              <wp:posOffset>3692525</wp:posOffset>
            </wp:positionH>
            <wp:positionV relativeFrom="paragraph">
              <wp:posOffset>607365</wp:posOffset>
            </wp:positionV>
            <wp:extent cx="308610" cy="365760"/>
            <wp:effectExtent l="0" t="0" r="0" b="0"/>
            <wp:wrapNone/>
            <wp:docPr id="1" name="Picture 1" descr="Figure2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Figure2_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610" cy="365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6B03">
        <w:rPr>
          <w:noProof/>
          <w:lang w:val="en-US"/>
        </w:rPr>
        <mc:AlternateContent>
          <mc:Choice Requires="wps">
            <w:drawing>
              <wp:anchor distT="0" distB="0" distL="114300" distR="114300" simplePos="0" relativeHeight="251660288" behindDoc="0" locked="0" layoutInCell="1" allowOverlap="1" wp14:anchorId="1F91C540" wp14:editId="3648F713">
                <wp:simplePos x="0" y="0"/>
                <wp:positionH relativeFrom="column">
                  <wp:posOffset>5082972</wp:posOffset>
                </wp:positionH>
                <wp:positionV relativeFrom="paragraph">
                  <wp:posOffset>411785</wp:posOffset>
                </wp:positionV>
                <wp:extent cx="672465" cy="23368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233680"/>
                        </a:xfrm>
                        <a:prstGeom prst="rect">
                          <a:avLst/>
                        </a:prstGeom>
                        <a:solidFill>
                          <a:srgbClr val="FFFFFF"/>
                        </a:solidFill>
                        <a:ln w="9525">
                          <a:noFill/>
                          <a:miter lim="800000"/>
                          <a:headEnd/>
                          <a:tailEnd/>
                        </a:ln>
                      </wps:spPr>
                      <wps:txbx>
                        <w:txbxContent>
                          <w:p w:rsidR="00D66B03" w:rsidRDefault="00D66B03" w:rsidP="00D66B03">
                            <w:r>
                              <w:t>Reflector</w:t>
                            </w:r>
                          </w:p>
                        </w:txbxContent>
                      </wps:txbx>
                      <wps:bodyPr rot="0" vert="horz" wrap="square" lIns="91440" tIns="45720" rIns="91440" bIns="45720" anchor="t" anchorCtr="0">
                        <a:noAutofit/>
                      </wps:bodyPr>
                    </wps:wsp>
                  </a:graphicData>
                </a:graphic>
              </wp:anchor>
            </w:drawing>
          </mc:Choice>
          <mc:Fallback>
            <w:pict>
              <v:shapetype w14:anchorId="1F91C540" id="_x0000_t202" coordsize="21600,21600" o:spt="202" path="m,l,21600r21600,l21600,xe">
                <v:stroke joinstyle="miter"/>
                <v:path gradientshapeok="t" o:connecttype="rect"/>
              </v:shapetype>
              <v:shape id="Text Box 2" o:spid="_x0000_s1026" type="#_x0000_t202" style="position:absolute;left:0;text-align:left;margin-left:400.25pt;margin-top:32.4pt;width:52.95pt;height:18.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" stroked="f">
                <v:textbox>
                  <w:txbxContent>
                    <w:p w:rsidR="00D66B03" w:rsidRDefault="00D66B03" w:rsidP="00D66B03">
                      <w:r>
                        <w:t>Reflector</w:t>
                      </w:r>
                    </w:p>
                  </w:txbxContent>
                </v:textbox>
              </v:shape>
            </w:pict>
          </mc:Fallback>
        </mc:AlternateContent>
      </w:r>
      <w:r w:rsidR="00B749FF">
        <w:rPr>
          <w:noProof/>
          <w:lang w:val="en-US"/>
        </w:rPr>
        <w:drawing>
          <wp:inline distT="0" distB="0" distL="0" distR="0" wp14:anchorId="480A9D72" wp14:editId="5A46FBB3">
            <wp:extent cx="2868856" cy="27432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ATR for OTA.png"/>
                    <pic:cNvPicPr/>
                  </pic:nvPicPr>
                  <pic:blipFill>
                    <a:blip r:embed="rId9">
                      <a:extLst>
                        <a:ext uri="{28A0092B-C50C-407E-A947-70E740481C1C}">
                          <a14:useLocalDpi xmlns:a14="http://schemas.microsoft.com/office/drawing/2010/main" val="0"/>
                        </a:ext>
                      </a:extLst>
                    </a:blip>
                    <a:stretch>
                      <a:fillRect/>
                    </a:stretch>
                  </pic:blipFill>
                  <pic:spPr>
                    <a:xfrm>
                      <a:off x="0" y="0"/>
                      <a:ext cx="2868856" cy="2743200"/>
                    </a:xfrm>
                    <a:prstGeom prst="rect">
                      <a:avLst/>
                    </a:prstGeom>
                  </pic:spPr>
                </pic:pic>
              </a:graphicData>
            </a:graphic>
          </wp:inline>
        </w:drawing>
      </w:r>
      <w:r w:rsidRPr="00530CB2">
        <w:object w:dxaOrig="7816" w:dyaOrig="7366">
          <v:shape id="_x0000_i1025" type="#_x0000_t75" style="width:229.8pt;height:3in;mso-position-vertical:absolute" o:ole="">
            <v:imagedata r:id="rId10" o:title=""/>
          </v:shape>
          <o:OLEObject Type="Embed" ProgID="Visio.Drawing.15" ShapeID="_x0000_i1025" DrawAspect="Content" ObjectID="_1602700638" r:id="rId11"/>
        </w:object>
      </w:r>
    </w:p>
    <w:p w:rsidR="00D66B03" w:rsidRDefault="00D66B03" w:rsidP="00D66B03">
      <w:pPr>
        <w:pStyle w:val="ListParagraph"/>
        <w:numPr>
          <w:ilvl w:val="0"/>
          <w:numId w:val="48"/>
        </w:numPr>
      </w:pPr>
      <w:r>
        <w:t xml:space="preserve">                                                                                    (b)                               </w:t>
      </w:r>
    </w:p>
    <w:p w:rsidR="00AA2615" w:rsidRDefault="00D66B03" w:rsidP="00546D82">
      <w:r>
        <w:t xml:space="preserve">     </w:t>
      </w:r>
    </w:p>
    <w:p w:rsidR="00AA2615" w:rsidRDefault="00B749FF" w:rsidP="00546D82">
      <w:r>
        <w:t>Figure 1. Typical CATR setup for (a) OTA TX type of measurements (b) OTA RX type of measurements</w:t>
      </w:r>
    </w:p>
    <w:p w:rsidR="00AA2615" w:rsidRDefault="00AA2615" w:rsidP="00546D82"/>
    <w:p w:rsidR="002C5431" w:rsidRDefault="00AA2615" w:rsidP="00546D82">
      <w:r>
        <w:t>MU budget has been extensively analysed during the past years. One of the contributor is the standing wave at both DUT and feed antenna (measurement antenna in CATR). The uncertainty value for those contributors has been agreed to be set to 0.1dB. This value has not been justified so far. This contribution aims at providing justification around this uncertainty value. The justification are va</w:t>
      </w:r>
      <w:r w:rsidR="002C5431">
        <w:t>lid for sub6GHz and mmWave CATR.</w:t>
      </w:r>
    </w:p>
    <w:p w:rsidR="002C5431" w:rsidRDefault="002C5431" w:rsidP="00546D82"/>
    <w:p w:rsidR="002C5431" w:rsidRDefault="002C5431" w:rsidP="00546D82"/>
    <w:p w:rsidR="002C5431" w:rsidRDefault="002C5431" w:rsidP="00546D82"/>
    <w:p w:rsidR="002C5431" w:rsidRDefault="002C5431" w:rsidP="00546D82"/>
    <w:p w:rsidR="002C5431" w:rsidRDefault="002C5431" w:rsidP="00546D82"/>
    <w:p w:rsidR="002C5431" w:rsidRDefault="002C5431" w:rsidP="00546D82"/>
    <w:p w:rsidR="002C5431" w:rsidRDefault="002C5431" w:rsidP="00546D82"/>
    <w:p w:rsidR="002C5431" w:rsidRPr="00136662" w:rsidRDefault="002C5431" w:rsidP="00546D82"/>
    <w:p w:rsidR="00BA74F6" w:rsidRDefault="00BA74F6" w:rsidP="0021027B"/>
    <w:p w:rsidR="00BA74F6" w:rsidRDefault="00302986" w:rsidP="00BA74F6">
      <w:pPr>
        <w:pStyle w:val="Heading1"/>
        <w:numPr>
          <w:ilvl w:val="0"/>
          <w:numId w:val="4"/>
        </w:numPr>
        <w:ind w:hanging="720"/>
      </w:pPr>
      <w:r>
        <w:lastRenderedPageBreak/>
        <w:t>Standing Wave Uncertainty in CATR</w:t>
      </w:r>
    </w:p>
    <w:p w:rsidR="00C95ECF" w:rsidRDefault="00C95ECF" w:rsidP="00C95ECF">
      <w:r>
        <w:t xml:space="preserve">While for a CATR the reciprocity is valid (S21=S12), reflection coefficients S11, and S22 are quite different. On the feed side, it is very high </w:t>
      </w:r>
      <w:r w:rsidR="00213933">
        <w:t>but always the same so that it can considered as part of the CATR frequency response.</w:t>
      </w:r>
      <w:r w:rsidR="004E01AD">
        <w:t xml:space="preserve"> On the DUT side, it is typically very low, therefore depending on DUT.</w:t>
      </w:r>
      <w:r w:rsidR="00213933">
        <w:t xml:space="preserve">  </w:t>
      </w:r>
      <w:r>
        <w:t xml:space="preserve"> </w:t>
      </w:r>
    </w:p>
    <w:p w:rsidR="007517A7" w:rsidRPr="00C95ECF" w:rsidRDefault="00FA6041" w:rsidP="00C95ECF">
      <w:r>
        <w:t xml:space="preserve"> </w:t>
      </w:r>
    </w:p>
    <w:p w:rsidR="00302986" w:rsidRDefault="00020E84" w:rsidP="00302986">
      <w:pPr>
        <w:pStyle w:val="ListParagraph"/>
        <w:numPr>
          <w:ilvl w:val="1"/>
          <w:numId w:val="4"/>
        </w:numPr>
        <w:rPr>
          <w:rFonts w:ascii="Arial" w:hAnsi="Arial" w:cs="Arial"/>
          <w:b/>
        </w:rPr>
      </w:pPr>
      <w:r w:rsidRPr="00FA6041">
        <w:rPr>
          <w:rFonts w:ascii="Arial" w:hAnsi="Arial" w:cs="Arial"/>
          <w:b/>
        </w:rPr>
        <w:t>B</w:t>
      </w:r>
      <w:r w:rsidRPr="00FA6041">
        <w:rPr>
          <w:rFonts w:ascii="Arial" w:hAnsi="Arial" w:cs="Arial"/>
          <w:b/>
          <w:i/>
        </w:rPr>
        <w:t>etween</w:t>
      </w:r>
      <w:r>
        <w:rPr>
          <w:rFonts w:ascii="Arial" w:hAnsi="Arial" w:cs="Arial"/>
          <w:b/>
        </w:rPr>
        <w:t xml:space="preserve"> Reflector and Feed (OTA </w:t>
      </w:r>
      <w:r w:rsidR="00B41AF0">
        <w:rPr>
          <w:rFonts w:ascii="Arial" w:hAnsi="Arial" w:cs="Arial"/>
          <w:b/>
        </w:rPr>
        <w:t>R</w:t>
      </w:r>
      <w:r>
        <w:rPr>
          <w:rFonts w:ascii="Arial" w:hAnsi="Arial" w:cs="Arial"/>
          <w:b/>
        </w:rPr>
        <w:t>X type of measurements)</w:t>
      </w:r>
    </w:p>
    <w:p w:rsidR="00397567" w:rsidRDefault="00397567" w:rsidP="00397567">
      <w:r>
        <w:t xml:space="preserve">In this scenario the feed is transmitting a spherical wave which is transformed in a plane wave at the reflector. The synthesized plane wave diverges from the reflector away from the central line, and it diverges more for low frequencies compared to high frequencies (at least for a serrated edge reflector, for a rolled edge reflector it is quite frequency independent). Thus there is a quite high level of energy (relative to the level in the </w:t>
      </w:r>
      <w:r w:rsidR="00EC64CD">
        <w:t>QZ</w:t>
      </w:r>
      <w:r>
        <w:t xml:space="preserve">) which hits the feed area again. </w:t>
      </w:r>
      <w:r w:rsidR="004A49AD">
        <w:t>This level can be lowered down by properly design the geometry of the CATR.</w:t>
      </w:r>
      <w:r>
        <w:t xml:space="preserve"> It has to be noted that this level is constant, independent of the DUT, and t</w:t>
      </w:r>
      <w:r w:rsidR="00053623">
        <w:t>herefore can be easily removed.</w:t>
      </w:r>
    </w:p>
    <w:p w:rsidR="00302986" w:rsidRPr="00302986" w:rsidRDefault="00302986" w:rsidP="00302986">
      <w:pPr>
        <w:rPr>
          <w:b/>
        </w:rPr>
      </w:pPr>
    </w:p>
    <w:p w:rsidR="00302986" w:rsidRDefault="00302986" w:rsidP="00302986">
      <w:pPr>
        <w:pStyle w:val="ListParagraph"/>
        <w:numPr>
          <w:ilvl w:val="1"/>
          <w:numId w:val="4"/>
        </w:numPr>
        <w:rPr>
          <w:rFonts w:ascii="Arial" w:hAnsi="Arial" w:cs="Arial"/>
          <w:b/>
        </w:rPr>
      </w:pPr>
      <w:r w:rsidRPr="00302986">
        <w:rPr>
          <w:rFonts w:ascii="Arial" w:hAnsi="Arial" w:cs="Arial"/>
          <w:b/>
        </w:rPr>
        <w:t xml:space="preserve">Between Reflector and </w:t>
      </w:r>
      <w:r w:rsidR="00020E84">
        <w:rPr>
          <w:rFonts w:ascii="Arial" w:hAnsi="Arial" w:cs="Arial"/>
          <w:b/>
        </w:rPr>
        <w:t xml:space="preserve">DUT (OTA </w:t>
      </w:r>
      <w:r w:rsidR="00B41AF0">
        <w:rPr>
          <w:rFonts w:ascii="Arial" w:hAnsi="Arial" w:cs="Arial"/>
          <w:b/>
        </w:rPr>
        <w:t>TX</w:t>
      </w:r>
      <w:r w:rsidR="00020E84">
        <w:rPr>
          <w:rFonts w:ascii="Arial" w:hAnsi="Arial" w:cs="Arial"/>
          <w:b/>
        </w:rPr>
        <w:t xml:space="preserve"> type of measurements)</w:t>
      </w:r>
    </w:p>
    <w:p w:rsidR="009D022C" w:rsidRDefault="009D022C" w:rsidP="009D022C">
      <w:r>
        <w:t>In this scenario the DUT is transmitting</w:t>
      </w:r>
      <w:r w:rsidR="00053623">
        <w:t xml:space="preserve"> and th</w:t>
      </w:r>
      <w:r>
        <w:t xml:space="preserve">ere is no energy which goes from the DUT to the reflector directly back to the DUT. </w:t>
      </w:r>
    </w:p>
    <w:p w:rsidR="008D26EE" w:rsidRDefault="009D022C" w:rsidP="009D022C">
      <w:r>
        <w:t xml:space="preserve">Therefore we have to investigate secondary effects, meaning, the power in this focal plane gets reflected, goes back to the reflector and the DUT. Since everything around the feed is normally well covered with absorbers, the only reflection which happens is at the feed itself. </w:t>
      </w:r>
      <w:r w:rsidR="008D26EE">
        <w:t xml:space="preserve">This could be modelled by using the Friis Formula. Especially, </w:t>
      </w:r>
      <w:r>
        <w:t>the power received by the feed is given by</w:t>
      </w:r>
      <w:r w:rsidR="008D26EE">
        <w:t>:</w:t>
      </w:r>
    </w:p>
    <w:p w:rsidR="00845F2E" w:rsidRDefault="00845F2E" w:rsidP="009D022C"/>
    <w:p w:rsidR="00845F2E" w:rsidRDefault="00845F2E" w:rsidP="009D022C">
      <w:r>
        <w:t xml:space="preserve">                                                                    </w:t>
      </w:r>
      <w:r w:rsidR="008D26EE">
        <w:t xml:space="preserve">Pr=Pt*Gr*Gt*(λ/4*π*r)^2 </w:t>
      </w:r>
    </w:p>
    <w:p w:rsidR="00845F2E" w:rsidRDefault="00845F2E" w:rsidP="009D022C"/>
    <w:p w:rsidR="008D26EE" w:rsidRDefault="008D26EE" w:rsidP="009D022C">
      <w:r>
        <w:t>where</w:t>
      </w:r>
      <w:r w:rsidR="009D022C">
        <w:t xml:space="preserve"> </w:t>
      </w:r>
      <w:r>
        <w:t>free</w:t>
      </w:r>
      <w:r w:rsidR="009D022C">
        <w:t xml:space="preserve"> space loss equal</w:t>
      </w:r>
      <w:r>
        <w:t>s</w:t>
      </w:r>
      <w:r w:rsidR="009D022C">
        <w:t xml:space="preserve"> to the effective focal length of the reflector</w:t>
      </w:r>
      <w:r>
        <w:t xml:space="preserve"> (r)</w:t>
      </w:r>
      <w:r w:rsidR="009D022C">
        <w:t>. Then this power gets reflected inside the f</w:t>
      </w:r>
      <w:r>
        <w:t xml:space="preserve">eed </w:t>
      </w:r>
      <w:r w:rsidR="009D022C">
        <w:t>and the power received by the DUT is given by the s</w:t>
      </w:r>
      <w:r>
        <w:t>ame Friis formula</w:t>
      </w:r>
      <w:r w:rsidR="009D022C">
        <w:t xml:space="preserve">. </w:t>
      </w:r>
    </w:p>
    <w:p w:rsidR="004C5C83" w:rsidRDefault="004C5C83" w:rsidP="009D022C">
      <w:r>
        <w:t>As an example, let’s consider the gain of the feed to be 10dB, gain of DUT=20dB, r=5m, and λ=0.1m (</w:t>
      </w:r>
      <w:r w:rsidR="00845F2E">
        <w:t xml:space="preserve">at </w:t>
      </w:r>
      <w:r>
        <w:t>f=3GHz), the power received by the feed normalized to the power transmitted by the DUT is given by:</w:t>
      </w:r>
    </w:p>
    <w:p w:rsidR="00845F2E" w:rsidRDefault="00845F2E" w:rsidP="009D022C"/>
    <w:p w:rsidR="009D022C" w:rsidRDefault="004C5C83" w:rsidP="009D022C">
      <w:r>
        <w:t>Pr</w:t>
      </w:r>
      <w:r w:rsidR="009D022C">
        <w:t xml:space="preserve">/ Pt </w:t>
      </w:r>
      <w:r>
        <w:t>[dB]= Gr[dB]+Gt[dB]+20*log(λ/4*π*r)</w:t>
      </w:r>
      <w:r w:rsidR="009D022C">
        <w:t xml:space="preserve">= </w:t>
      </w:r>
      <w:r>
        <w:t>10+20+20*log(0.1/4*π*5)</w:t>
      </w:r>
      <w:r w:rsidR="009D022C">
        <w:t>=-26 dB</w:t>
      </w:r>
    </w:p>
    <w:p w:rsidR="00845F2E" w:rsidRDefault="00845F2E" w:rsidP="009D022C"/>
    <w:p w:rsidR="009D022C" w:rsidRDefault="004C5C83" w:rsidP="009D022C">
      <w:r>
        <w:t xml:space="preserve">Assuming that the return loss of the feed is 10dB, the </w:t>
      </w:r>
      <w:r w:rsidR="004F02C5">
        <w:t>total power reflected by the feed</w:t>
      </w:r>
      <w:r w:rsidR="009D022C">
        <w:t xml:space="preserve"> is </w:t>
      </w:r>
      <w:r>
        <w:t>(</w:t>
      </w:r>
      <w:r w:rsidR="009D022C">
        <w:t>2*-26</w:t>
      </w:r>
      <w:r>
        <w:t>)</w:t>
      </w:r>
      <w:r w:rsidR="009D022C">
        <w:t xml:space="preserve">-10 = -62 dB, and therefore </w:t>
      </w:r>
      <w:r>
        <w:t xml:space="preserve">the </w:t>
      </w:r>
      <w:r w:rsidR="00652649">
        <w:t xml:space="preserve">ripple on the main beam </w:t>
      </w:r>
      <w:r>
        <w:t xml:space="preserve">is </w:t>
      </w:r>
      <w:r w:rsidR="009D022C">
        <w:t>negligible.</w:t>
      </w:r>
    </w:p>
    <w:p w:rsidR="00845F2E" w:rsidRDefault="00845F2E" w:rsidP="009D022C">
      <w:r>
        <w:t>This model can be used when estimating the reflection in a CATR at mmWave</w:t>
      </w:r>
      <w:r w:rsidR="00D12FA1">
        <w:t xml:space="preserve"> designed for BS testsing</w:t>
      </w:r>
      <w:r w:rsidR="004F02C5">
        <w:t xml:space="preserve">. </w:t>
      </w:r>
      <w:r>
        <w:t xml:space="preserve">Especially, if we do assume the Gain of feed=10dB, Gain of DUT= </w:t>
      </w:r>
      <w:r w:rsidR="004F02C5">
        <w:t>3</w:t>
      </w:r>
      <w:r>
        <w:t>0dB, r=3.5m (for a CATR with 50cm QZ), and λ=0.01m (at 30GHz):</w:t>
      </w:r>
    </w:p>
    <w:p w:rsidR="00845F2E" w:rsidRDefault="00845F2E" w:rsidP="009D022C"/>
    <w:p w:rsidR="00845F2E" w:rsidRDefault="00845F2E" w:rsidP="00845F2E">
      <w:r>
        <w:t>Pr/ Pt [dB]= Gr[dB]+Gt[dB]+20*log(λ/4*π*r)= 10+</w:t>
      </w:r>
      <w:r w:rsidR="00F32417">
        <w:t>3</w:t>
      </w:r>
      <w:r>
        <w:t>0+20*log(0.01/4*π*3.5)=-</w:t>
      </w:r>
      <w:r w:rsidR="004F02C5">
        <w:t>33</w:t>
      </w:r>
      <w:r>
        <w:t xml:space="preserve"> dB</w:t>
      </w:r>
    </w:p>
    <w:p w:rsidR="00845F2E" w:rsidRDefault="00845F2E" w:rsidP="00845F2E"/>
    <w:p w:rsidR="00845F2E" w:rsidRDefault="00845F2E" w:rsidP="00845F2E">
      <w:r>
        <w:t>Assuming again that feed return loss is 10dB, the total power reflected by the feed is (2*-</w:t>
      </w:r>
      <w:r w:rsidR="004F02C5">
        <w:t>33)-10=-76</w:t>
      </w:r>
      <w:r>
        <w:t>dB</w:t>
      </w:r>
      <w:r w:rsidR="004F02C5">
        <w:t>, and therefore the ripple on the main beam is negligible.</w:t>
      </w:r>
    </w:p>
    <w:p w:rsidR="00845F2E" w:rsidRDefault="004F02C5" w:rsidP="009D022C">
      <w:r>
        <w:t>Even if the RCS of the feed is significant (like total reflection), it looks like this reflection is really low so that the standing wave is negligible for both sub6GHz and mmWave.</w:t>
      </w:r>
    </w:p>
    <w:p w:rsidR="00845F2E" w:rsidRDefault="00845F2E" w:rsidP="009D022C"/>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D022C" w:rsidRDefault="003A4E70" w:rsidP="009D022C">
      <w:pPr>
        <w:pStyle w:val="Heading1"/>
        <w:numPr>
          <w:ilvl w:val="0"/>
          <w:numId w:val="4"/>
        </w:numPr>
        <w:ind w:hanging="720"/>
      </w:pPr>
      <w:r>
        <w:t>C</w:t>
      </w:r>
      <w:r w:rsidR="009938E5">
        <w:t>onclusion</w:t>
      </w:r>
      <w:r w:rsidR="00B62110">
        <w:t xml:space="preserve"> </w:t>
      </w:r>
    </w:p>
    <w:p w:rsidR="0016667E" w:rsidRPr="0016667E" w:rsidRDefault="0016667E" w:rsidP="0016667E">
      <w:r>
        <w:t>This contribution did provide justification for the standing wave uncertainty term in a CATR for OTA TX and RX type of measurements. This uncertainty can be considered negligible for RX (EIS) and TX (EIRP) power measurements.</w:t>
      </w:r>
    </w:p>
    <w:p w:rsidR="00204010" w:rsidRPr="00204010" w:rsidRDefault="00204010" w:rsidP="00204010">
      <w:pPr>
        <w:rPr>
          <w:lang w:val="en-US"/>
        </w:rPr>
      </w:pPr>
    </w:p>
    <w:p w:rsidR="0057176C" w:rsidRPr="009242E7" w:rsidRDefault="0057176C" w:rsidP="0057176C">
      <w:pPr>
        <w:pBdr>
          <w:bottom w:val="single" w:sz="4" w:space="1" w:color="auto"/>
        </w:pBdr>
      </w:pPr>
    </w:p>
    <w:p w:rsidR="00506A19" w:rsidRDefault="0057176C" w:rsidP="00506A19">
      <w:pPr>
        <w:pStyle w:val="Heading1"/>
      </w:pPr>
      <w:r>
        <w:t>Reference</w:t>
      </w:r>
    </w:p>
    <w:p w:rsidR="003B0A5D" w:rsidRPr="006147DE" w:rsidRDefault="00A51B1D" w:rsidP="00302986">
      <w:pPr>
        <w:rPr>
          <w:b/>
        </w:rPr>
      </w:pPr>
      <w:r>
        <w:rPr>
          <w:bCs/>
          <w:color w:val="000000"/>
        </w:rPr>
        <w:t xml:space="preserve">[1] </w:t>
      </w:r>
      <w:r w:rsidR="00E034AF">
        <w:rPr>
          <w:bCs/>
          <w:color w:val="000000"/>
        </w:rPr>
        <w:t>3GPP TR37.842, September 2018</w:t>
      </w: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AF5" w:rsidRDefault="00961AF5">
      <w:r>
        <w:separator/>
      </w:r>
    </w:p>
  </w:endnote>
  <w:endnote w:type="continuationSeparator" w:id="0">
    <w:p w:rsidR="00961AF5" w:rsidRDefault="0096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AF5" w:rsidRDefault="00961AF5">
      <w:r>
        <w:separator/>
      </w:r>
    </w:p>
  </w:footnote>
  <w:footnote w:type="continuationSeparator" w:id="0">
    <w:p w:rsidR="00961AF5" w:rsidRDefault="00961A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9pt;height:29.95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F55FC"/>
    <w:multiLevelType w:val="hybridMultilevel"/>
    <w:tmpl w:val="1972A0DE"/>
    <w:lvl w:ilvl="0" w:tplc="45789C84">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6"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4D38C5"/>
    <w:multiLevelType w:val="hybridMultilevel"/>
    <w:tmpl w:val="21A40354"/>
    <w:lvl w:ilvl="0" w:tplc="D564DC42">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785055C"/>
    <w:multiLevelType w:val="hybridMultilevel"/>
    <w:tmpl w:val="EC3C5ADA"/>
    <w:lvl w:ilvl="0" w:tplc="AEA8FF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4"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26"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33"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1"/>
  </w:num>
  <w:num w:numId="2">
    <w:abstractNumId w:val="22"/>
  </w:num>
  <w:num w:numId="3">
    <w:abstractNumId w:val="20"/>
  </w:num>
  <w:num w:numId="4">
    <w:abstractNumId w:val="29"/>
  </w:num>
  <w:num w:numId="5">
    <w:abstractNumId w:val="45"/>
  </w:num>
  <w:num w:numId="6">
    <w:abstractNumId w:val="14"/>
  </w:num>
  <w:num w:numId="7">
    <w:abstractNumId w:val="44"/>
  </w:num>
  <w:num w:numId="8">
    <w:abstractNumId w:val="21"/>
  </w:num>
  <w:num w:numId="9">
    <w:abstractNumId w:val="47"/>
  </w:num>
  <w:num w:numId="10">
    <w:abstractNumId w:val="26"/>
  </w:num>
  <w:num w:numId="11">
    <w:abstractNumId w:val="27"/>
  </w:num>
  <w:num w:numId="12">
    <w:abstractNumId w:val="37"/>
  </w:num>
  <w:num w:numId="13">
    <w:abstractNumId w:val="36"/>
  </w:num>
  <w:num w:numId="14">
    <w:abstractNumId w:val="34"/>
    <w:lvlOverride w:ilvl="0">
      <w:startOverride w:val="1"/>
    </w:lvlOverride>
  </w:num>
  <w:num w:numId="15">
    <w:abstractNumId w:val="18"/>
  </w:num>
  <w:num w:numId="16">
    <w:abstractNumId w:val="30"/>
  </w:num>
  <w:num w:numId="17">
    <w:abstractNumId w:val="2"/>
  </w:num>
  <w:num w:numId="18">
    <w:abstractNumId w:val="24"/>
  </w:num>
  <w:num w:numId="19">
    <w:abstractNumId w:val="38"/>
  </w:num>
  <w:num w:numId="20">
    <w:abstractNumId w:val="15"/>
  </w:num>
  <w:num w:numId="21">
    <w:abstractNumId w:val="1"/>
  </w:num>
  <w:num w:numId="22">
    <w:abstractNumId w:val="0"/>
  </w:num>
  <w:num w:numId="23">
    <w:abstractNumId w:val="40"/>
  </w:num>
  <w:num w:numId="24">
    <w:abstractNumId w:val="17"/>
  </w:num>
  <w:num w:numId="25">
    <w:abstractNumId w:val="11"/>
  </w:num>
  <w:num w:numId="26">
    <w:abstractNumId w:val="8"/>
  </w:num>
  <w:num w:numId="27">
    <w:abstractNumId w:val="43"/>
  </w:num>
  <w:num w:numId="28">
    <w:abstractNumId w:val="46"/>
  </w:num>
  <w:num w:numId="29">
    <w:abstractNumId w:val="9"/>
  </w:num>
  <w:num w:numId="30">
    <w:abstractNumId w:val="3"/>
  </w:num>
  <w:num w:numId="31">
    <w:abstractNumId w:val="16"/>
  </w:num>
  <w:num w:numId="32">
    <w:abstractNumId w:val="33"/>
  </w:num>
  <w:num w:numId="33">
    <w:abstractNumId w:val="42"/>
  </w:num>
  <w:num w:numId="34">
    <w:abstractNumId w:val="19"/>
  </w:num>
  <w:num w:numId="35">
    <w:abstractNumId w:val="4"/>
  </w:num>
  <w:num w:numId="36">
    <w:abstractNumId w:val="35"/>
  </w:num>
  <w:num w:numId="37">
    <w:abstractNumId w:val="7"/>
  </w:num>
  <w:num w:numId="38">
    <w:abstractNumId w:val="6"/>
  </w:num>
  <w:num w:numId="39">
    <w:abstractNumId w:val="12"/>
  </w:num>
  <w:num w:numId="40">
    <w:abstractNumId w:val="41"/>
  </w:num>
  <w:num w:numId="4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2"/>
  </w:num>
  <w:num w:numId="44">
    <w:abstractNumId w:val="10"/>
  </w:num>
  <w:num w:numId="45">
    <w:abstractNumId w:val="25"/>
  </w:num>
  <w:num w:numId="46">
    <w:abstractNumId w:val="39"/>
  </w:num>
  <w:num w:numId="47">
    <w:abstractNumId w:val="1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0E84"/>
    <w:rsid w:val="00021852"/>
    <w:rsid w:val="00025A7D"/>
    <w:rsid w:val="00027092"/>
    <w:rsid w:val="00027CBC"/>
    <w:rsid w:val="00030A96"/>
    <w:rsid w:val="00030CF5"/>
    <w:rsid w:val="00034018"/>
    <w:rsid w:val="00037479"/>
    <w:rsid w:val="000376EF"/>
    <w:rsid w:val="00037A74"/>
    <w:rsid w:val="00044E1A"/>
    <w:rsid w:val="00046292"/>
    <w:rsid w:val="00047093"/>
    <w:rsid w:val="00047993"/>
    <w:rsid w:val="00051A52"/>
    <w:rsid w:val="00053623"/>
    <w:rsid w:val="000544D8"/>
    <w:rsid w:val="000575DE"/>
    <w:rsid w:val="00062129"/>
    <w:rsid w:val="00065BDE"/>
    <w:rsid w:val="00066467"/>
    <w:rsid w:val="00066DFC"/>
    <w:rsid w:val="00066ECB"/>
    <w:rsid w:val="000701C3"/>
    <w:rsid w:val="000725BE"/>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3BDF"/>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36662"/>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667E"/>
    <w:rsid w:val="001675BC"/>
    <w:rsid w:val="00170904"/>
    <w:rsid w:val="00172F1C"/>
    <w:rsid w:val="00174326"/>
    <w:rsid w:val="00174A76"/>
    <w:rsid w:val="00175347"/>
    <w:rsid w:val="00175530"/>
    <w:rsid w:val="001776AF"/>
    <w:rsid w:val="001776E7"/>
    <w:rsid w:val="00181AE0"/>
    <w:rsid w:val="0018335B"/>
    <w:rsid w:val="00185FFA"/>
    <w:rsid w:val="00186029"/>
    <w:rsid w:val="0019095A"/>
    <w:rsid w:val="0019294F"/>
    <w:rsid w:val="00192C80"/>
    <w:rsid w:val="00196A2B"/>
    <w:rsid w:val="001A13A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0882"/>
    <w:rsid w:val="001E443B"/>
    <w:rsid w:val="001E629B"/>
    <w:rsid w:val="001E699F"/>
    <w:rsid w:val="001F1125"/>
    <w:rsid w:val="001F130E"/>
    <w:rsid w:val="001F14AE"/>
    <w:rsid w:val="001F226A"/>
    <w:rsid w:val="001F273E"/>
    <w:rsid w:val="001F55B6"/>
    <w:rsid w:val="001F5A3E"/>
    <w:rsid w:val="00200F4E"/>
    <w:rsid w:val="00204010"/>
    <w:rsid w:val="00207E8D"/>
    <w:rsid w:val="0021027B"/>
    <w:rsid w:val="00210903"/>
    <w:rsid w:val="002127B6"/>
    <w:rsid w:val="00213933"/>
    <w:rsid w:val="00216FFE"/>
    <w:rsid w:val="00217210"/>
    <w:rsid w:val="00226E4B"/>
    <w:rsid w:val="00230D0D"/>
    <w:rsid w:val="00231E06"/>
    <w:rsid w:val="00232C78"/>
    <w:rsid w:val="00233D5E"/>
    <w:rsid w:val="0023403F"/>
    <w:rsid w:val="00242240"/>
    <w:rsid w:val="002552B4"/>
    <w:rsid w:val="002601DD"/>
    <w:rsid w:val="0026328C"/>
    <w:rsid w:val="002632EC"/>
    <w:rsid w:val="00266F96"/>
    <w:rsid w:val="00270724"/>
    <w:rsid w:val="00271A33"/>
    <w:rsid w:val="002721E3"/>
    <w:rsid w:val="0027238C"/>
    <w:rsid w:val="002756EC"/>
    <w:rsid w:val="0028230E"/>
    <w:rsid w:val="002831CA"/>
    <w:rsid w:val="00283D86"/>
    <w:rsid w:val="0028718C"/>
    <w:rsid w:val="0029305C"/>
    <w:rsid w:val="0029330F"/>
    <w:rsid w:val="00294D82"/>
    <w:rsid w:val="00295840"/>
    <w:rsid w:val="002A4227"/>
    <w:rsid w:val="002B1355"/>
    <w:rsid w:val="002B6CA9"/>
    <w:rsid w:val="002C2107"/>
    <w:rsid w:val="002C5431"/>
    <w:rsid w:val="002C59DF"/>
    <w:rsid w:val="002C783B"/>
    <w:rsid w:val="002C7BE1"/>
    <w:rsid w:val="002D0017"/>
    <w:rsid w:val="002D4082"/>
    <w:rsid w:val="002D5C93"/>
    <w:rsid w:val="002E3D66"/>
    <w:rsid w:val="002E3E75"/>
    <w:rsid w:val="002E7D69"/>
    <w:rsid w:val="002F582E"/>
    <w:rsid w:val="003025C2"/>
    <w:rsid w:val="00302986"/>
    <w:rsid w:val="0030632B"/>
    <w:rsid w:val="00306542"/>
    <w:rsid w:val="00310167"/>
    <w:rsid w:val="00310D2B"/>
    <w:rsid w:val="00311042"/>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1F5A"/>
    <w:rsid w:val="0038684E"/>
    <w:rsid w:val="00393C3E"/>
    <w:rsid w:val="00394D66"/>
    <w:rsid w:val="0039535D"/>
    <w:rsid w:val="00396CEB"/>
    <w:rsid w:val="00397567"/>
    <w:rsid w:val="00397571"/>
    <w:rsid w:val="003A06A9"/>
    <w:rsid w:val="003A1D09"/>
    <w:rsid w:val="003A1D91"/>
    <w:rsid w:val="003A23A5"/>
    <w:rsid w:val="003A2831"/>
    <w:rsid w:val="003A3941"/>
    <w:rsid w:val="003A4E70"/>
    <w:rsid w:val="003A7B98"/>
    <w:rsid w:val="003B0A5D"/>
    <w:rsid w:val="003B11FF"/>
    <w:rsid w:val="003B20EA"/>
    <w:rsid w:val="003B3BE7"/>
    <w:rsid w:val="003B4BF0"/>
    <w:rsid w:val="003B66DB"/>
    <w:rsid w:val="003B6E32"/>
    <w:rsid w:val="003C1FFE"/>
    <w:rsid w:val="003D3C38"/>
    <w:rsid w:val="003D5CF0"/>
    <w:rsid w:val="003D677F"/>
    <w:rsid w:val="003D7046"/>
    <w:rsid w:val="003D757F"/>
    <w:rsid w:val="003D75F2"/>
    <w:rsid w:val="003E085F"/>
    <w:rsid w:val="003E428B"/>
    <w:rsid w:val="003E59DB"/>
    <w:rsid w:val="003E5C70"/>
    <w:rsid w:val="003E6EEC"/>
    <w:rsid w:val="003F2C96"/>
    <w:rsid w:val="003F3E9E"/>
    <w:rsid w:val="00402504"/>
    <w:rsid w:val="004059C1"/>
    <w:rsid w:val="00413E0D"/>
    <w:rsid w:val="00422B83"/>
    <w:rsid w:val="0042625F"/>
    <w:rsid w:val="00431434"/>
    <w:rsid w:val="004333C2"/>
    <w:rsid w:val="00433941"/>
    <w:rsid w:val="00436425"/>
    <w:rsid w:val="004415A9"/>
    <w:rsid w:val="00441C34"/>
    <w:rsid w:val="00441FA9"/>
    <w:rsid w:val="00442E6A"/>
    <w:rsid w:val="00443FE9"/>
    <w:rsid w:val="00451FA8"/>
    <w:rsid w:val="004526F4"/>
    <w:rsid w:val="00455845"/>
    <w:rsid w:val="00462873"/>
    <w:rsid w:val="00464763"/>
    <w:rsid w:val="0046677A"/>
    <w:rsid w:val="0046699E"/>
    <w:rsid w:val="00467912"/>
    <w:rsid w:val="00473F25"/>
    <w:rsid w:val="004754EF"/>
    <w:rsid w:val="00476636"/>
    <w:rsid w:val="0048424F"/>
    <w:rsid w:val="00485063"/>
    <w:rsid w:val="004865DB"/>
    <w:rsid w:val="0048728F"/>
    <w:rsid w:val="00487D0E"/>
    <w:rsid w:val="00487D9C"/>
    <w:rsid w:val="00492596"/>
    <w:rsid w:val="00496206"/>
    <w:rsid w:val="0049775F"/>
    <w:rsid w:val="004A2A5B"/>
    <w:rsid w:val="004A2C5C"/>
    <w:rsid w:val="004A49AD"/>
    <w:rsid w:val="004A5124"/>
    <w:rsid w:val="004C48EB"/>
    <w:rsid w:val="004C51F3"/>
    <w:rsid w:val="004C5C83"/>
    <w:rsid w:val="004C64AE"/>
    <w:rsid w:val="004C7FD2"/>
    <w:rsid w:val="004D2FDB"/>
    <w:rsid w:val="004D540B"/>
    <w:rsid w:val="004D6227"/>
    <w:rsid w:val="004D659E"/>
    <w:rsid w:val="004E0158"/>
    <w:rsid w:val="004E01AD"/>
    <w:rsid w:val="004E05FF"/>
    <w:rsid w:val="004E50DB"/>
    <w:rsid w:val="004E5C2D"/>
    <w:rsid w:val="004E6DA3"/>
    <w:rsid w:val="004E7EC1"/>
    <w:rsid w:val="004F02C5"/>
    <w:rsid w:val="004F1707"/>
    <w:rsid w:val="004F4BB6"/>
    <w:rsid w:val="004F5737"/>
    <w:rsid w:val="004F604E"/>
    <w:rsid w:val="004F6943"/>
    <w:rsid w:val="00501AB2"/>
    <w:rsid w:val="005026E8"/>
    <w:rsid w:val="0050373F"/>
    <w:rsid w:val="00506A19"/>
    <w:rsid w:val="00507B08"/>
    <w:rsid w:val="0051302B"/>
    <w:rsid w:val="0051317C"/>
    <w:rsid w:val="005150B0"/>
    <w:rsid w:val="005164BA"/>
    <w:rsid w:val="005178EF"/>
    <w:rsid w:val="005204E7"/>
    <w:rsid w:val="00520AF9"/>
    <w:rsid w:val="005214B9"/>
    <w:rsid w:val="005260CD"/>
    <w:rsid w:val="00530074"/>
    <w:rsid w:val="0053111B"/>
    <w:rsid w:val="00536343"/>
    <w:rsid w:val="0054034A"/>
    <w:rsid w:val="0054049E"/>
    <w:rsid w:val="00542317"/>
    <w:rsid w:val="00546D82"/>
    <w:rsid w:val="0055072E"/>
    <w:rsid w:val="00552F44"/>
    <w:rsid w:val="005545F6"/>
    <w:rsid w:val="0055606D"/>
    <w:rsid w:val="00557B94"/>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4E09"/>
    <w:rsid w:val="00595FA5"/>
    <w:rsid w:val="005A11E9"/>
    <w:rsid w:val="005A70F1"/>
    <w:rsid w:val="005A7A16"/>
    <w:rsid w:val="005A7C48"/>
    <w:rsid w:val="005B1608"/>
    <w:rsid w:val="005B3D19"/>
    <w:rsid w:val="005B4F0D"/>
    <w:rsid w:val="005C0E31"/>
    <w:rsid w:val="005C20CB"/>
    <w:rsid w:val="005C568C"/>
    <w:rsid w:val="005C6BF1"/>
    <w:rsid w:val="005D10DB"/>
    <w:rsid w:val="005D1B50"/>
    <w:rsid w:val="005D317F"/>
    <w:rsid w:val="005D342A"/>
    <w:rsid w:val="005D7116"/>
    <w:rsid w:val="005E22BB"/>
    <w:rsid w:val="005E3FF5"/>
    <w:rsid w:val="005E4660"/>
    <w:rsid w:val="005E6341"/>
    <w:rsid w:val="005F25D1"/>
    <w:rsid w:val="005F3554"/>
    <w:rsid w:val="005F45B6"/>
    <w:rsid w:val="005F4E85"/>
    <w:rsid w:val="005F5794"/>
    <w:rsid w:val="005F715D"/>
    <w:rsid w:val="00601547"/>
    <w:rsid w:val="00604803"/>
    <w:rsid w:val="006060BF"/>
    <w:rsid w:val="00610853"/>
    <w:rsid w:val="006111A5"/>
    <w:rsid w:val="00611A55"/>
    <w:rsid w:val="0061353D"/>
    <w:rsid w:val="006137EE"/>
    <w:rsid w:val="0061474D"/>
    <w:rsid w:val="006147DE"/>
    <w:rsid w:val="006149D2"/>
    <w:rsid w:val="00615F9A"/>
    <w:rsid w:val="00616914"/>
    <w:rsid w:val="00617194"/>
    <w:rsid w:val="00617CA2"/>
    <w:rsid w:val="00620CE6"/>
    <w:rsid w:val="00621989"/>
    <w:rsid w:val="00622576"/>
    <w:rsid w:val="00624224"/>
    <w:rsid w:val="00625A6E"/>
    <w:rsid w:val="00633585"/>
    <w:rsid w:val="00635065"/>
    <w:rsid w:val="00635569"/>
    <w:rsid w:val="00642910"/>
    <w:rsid w:val="00643785"/>
    <w:rsid w:val="00645F11"/>
    <w:rsid w:val="0064744A"/>
    <w:rsid w:val="00652649"/>
    <w:rsid w:val="0065436D"/>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C64BE"/>
    <w:rsid w:val="006D25C3"/>
    <w:rsid w:val="006D2DA0"/>
    <w:rsid w:val="006D4207"/>
    <w:rsid w:val="006E26EC"/>
    <w:rsid w:val="006E4D6B"/>
    <w:rsid w:val="006E5E26"/>
    <w:rsid w:val="006E7678"/>
    <w:rsid w:val="006F10C2"/>
    <w:rsid w:val="006F15F0"/>
    <w:rsid w:val="006F1E5E"/>
    <w:rsid w:val="006F38AA"/>
    <w:rsid w:val="006F38FE"/>
    <w:rsid w:val="006F41A9"/>
    <w:rsid w:val="006F66E9"/>
    <w:rsid w:val="007247D2"/>
    <w:rsid w:val="00725DAD"/>
    <w:rsid w:val="00743046"/>
    <w:rsid w:val="0074510C"/>
    <w:rsid w:val="00745D99"/>
    <w:rsid w:val="00747FDF"/>
    <w:rsid w:val="00750A20"/>
    <w:rsid w:val="007517A7"/>
    <w:rsid w:val="00761001"/>
    <w:rsid w:val="007630A3"/>
    <w:rsid w:val="0076354E"/>
    <w:rsid w:val="007641F6"/>
    <w:rsid w:val="0076535D"/>
    <w:rsid w:val="0076549E"/>
    <w:rsid w:val="00766472"/>
    <w:rsid w:val="00780CBA"/>
    <w:rsid w:val="00782722"/>
    <w:rsid w:val="00784985"/>
    <w:rsid w:val="00785257"/>
    <w:rsid w:val="00793320"/>
    <w:rsid w:val="00793C01"/>
    <w:rsid w:val="007957EB"/>
    <w:rsid w:val="007A212E"/>
    <w:rsid w:val="007A2A71"/>
    <w:rsid w:val="007A45C7"/>
    <w:rsid w:val="007A5785"/>
    <w:rsid w:val="007B1C5A"/>
    <w:rsid w:val="007B2470"/>
    <w:rsid w:val="007B6D88"/>
    <w:rsid w:val="007C235E"/>
    <w:rsid w:val="007C49E8"/>
    <w:rsid w:val="007D16DE"/>
    <w:rsid w:val="007D3775"/>
    <w:rsid w:val="007D4543"/>
    <w:rsid w:val="007D5900"/>
    <w:rsid w:val="007D792E"/>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0B71"/>
    <w:rsid w:val="008440E8"/>
    <w:rsid w:val="00845F2E"/>
    <w:rsid w:val="00846FD6"/>
    <w:rsid w:val="00851665"/>
    <w:rsid w:val="00875286"/>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35CD"/>
    <w:rsid w:val="008B70D0"/>
    <w:rsid w:val="008C4507"/>
    <w:rsid w:val="008C5163"/>
    <w:rsid w:val="008C6530"/>
    <w:rsid w:val="008C65D6"/>
    <w:rsid w:val="008C75C1"/>
    <w:rsid w:val="008C7B32"/>
    <w:rsid w:val="008C7DE6"/>
    <w:rsid w:val="008D0179"/>
    <w:rsid w:val="008D26EE"/>
    <w:rsid w:val="008F30F6"/>
    <w:rsid w:val="008F5577"/>
    <w:rsid w:val="008F638C"/>
    <w:rsid w:val="008F7191"/>
    <w:rsid w:val="008F7748"/>
    <w:rsid w:val="009008BB"/>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758"/>
    <w:rsid w:val="00926BE0"/>
    <w:rsid w:val="00931C3B"/>
    <w:rsid w:val="00937422"/>
    <w:rsid w:val="00942608"/>
    <w:rsid w:val="00950DFA"/>
    <w:rsid w:val="009517EE"/>
    <w:rsid w:val="00952B63"/>
    <w:rsid w:val="00955858"/>
    <w:rsid w:val="00957625"/>
    <w:rsid w:val="00961AF5"/>
    <w:rsid w:val="009627A3"/>
    <w:rsid w:val="00964B6C"/>
    <w:rsid w:val="00966078"/>
    <w:rsid w:val="00967A94"/>
    <w:rsid w:val="0097076C"/>
    <w:rsid w:val="00972E7E"/>
    <w:rsid w:val="00974B08"/>
    <w:rsid w:val="009753C7"/>
    <w:rsid w:val="00975BC2"/>
    <w:rsid w:val="00977286"/>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B618C"/>
    <w:rsid w:val="009B6EA9"/>
    <w:rsid w:val="009C1C66"/>
    <w:rsid w:val="009C3355"/>
    <w:rsid w:val="009C4A98"/>
    <w:rsid w:val="009C7D54"/>
    <w:rsid w:val="009D022C"/>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979"/>
    <w:rsid w:val="00A12C9A"/>
    <w:rsid w:val="00A16C58"/>
    <w:rsid w:val="00A171AD"/>
    <w:rsid w:val="00A17E1E"/>
    <w:rsid w:val="00A23F1D"/>
    <w:rsid w:val="00A2660A"/>
    <w:rsid w:val="00A30E06"/>
    <w:rsid w:val="00A31DA4"/>
    <w:rsid w:val="00A348FF"/>
    <w:rsid w:val="00A36AAC"/>
    <w:rsid w:val="00A37261"/>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833C3"/>
    <w:rsid w:val="00A90CC1"/>
    <w:rsid w:val="00A92260"/>
    <w:rsid w:val="00A92422"/>
    <w:rsid w:val="00A9296C"/>
    <w:rsid w:val="00A92A6D"/>
    <w:rsid w:val="00A9455F"/>
    <w:rsid w:val="00AA2615"/>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5B"/>
    <w:rsid w:val="00AD74C4"/>
    <w:rsid w:val="00AE30AC"/>
    <w:rsid w:val="00AE6FC3"/>
    <w:rsid w:val="00AE7D06"/>
    <w:rsid w:val="00AF000A"/>
    <w:rsid w:val="00AF2A18"/>
    <w:rsid w:val="00AF48F6"/>
    <w:rsid w:val="00B036F2"/>
    <w:rsid w:val="00B0550E"/>
    <w:rsid w:val="00B05DC5"/>
    <w:rsid w:val="00B0705A"/>
    <w:rsid w:val="00B1309D"/>
    <w:rsid w:val="00B23A9B"/>
    <w:rsid w:val="00B3083B"/>
    <w:rsid w:val="00B345DA"/>
    <w:rsid w:val="00B34B7C"/>
    <w:rsid w:val="00B369D4"/>
    <w:rsid w:val="00B41AF0"/>
    <w:rsid w:val="00B47EB5"/>
    <w:rsid w:val="00B531C4"/>
    <w:rsid w:val="00B55E08"/>
    <w:rsid w:val="00B560ED"/>
    <w:rsid w:val="00B56963"/>
    <w:rsid w:val="00B61FEF"/>
    <w:rsid w:val="00B62110"/>
    <w:rsid w:val="00B649C4"/>
    <w:rsid w:val="00B6657E"/>
    <w:rsid w:val="00B72BCF"/>
    <w:rsid w:val="00B73CAB"/>
    <w:rsid w:val="00B749FF"/>
    <w:rsid w:val="00B8065F"/>
    <w:rsid w:val="00B83FEF"/>
    <w:rsid w:val="00B849E1"/>
    <w:rsid w:val="00B93628"/>
    <w:rsid w:val="00B93982"/>
    <w:rsid w:val="00B95232"/>
    <w:rsid w:val="00B970F9"/>
    <w:rsid w:val="00BA0910"/>
    <w:rsid w:val="00BA0A4D"/>
    <w:rsid w:val="00BA44B4"/>
    <w:rsid w:val="00BA74F6"/>
    <w:rsid w:val="00BA7710"/>
    <w:rsid w:val="00BA7ECB"/>
    <w:rsid w:val="00BB048A"/>
    <w:rsid w:val="00BB0A47"/>
    <w:rsid w:val="00BB2AAE"/>
    <w:rsid w:val="00BB4CF7"/>
    <w:rsid w:val="00BB593B"/>
    <w:rsid w:val="00BB753B"/>
    <w:rsid w:val="00BC1115"/>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037F"/>
    <w:rsid w:val="00C1110B"/>
    <w:rsid w:val="00C115D0"/>
    <w:rsid w:val="00C13CAF"/>
    <w:rsid w:val="00C20A1B"/>
    <w:rsid w:val="00C23FD2"/>
    <w:rsid w:val="00C24764"/>
    <w:rsid w:val="00C253CB"/>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4FB7"/>
    <w:rsid w:val="00C868B6"/>
    <w:rsid w:val="00C9021F"/>
    <w:rsid w:val="00C95EC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0438"/>
    <w:rsid w:val="00D06202"/>
    <w:rsid w:val="00D10253"/>
    <w:rsid w:val="00D10E03"/>
    <w:rsid w:val="00D12767"/>
    <w:rsid w:val="00D12FA1"/>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55CD9"/>
    <w:rsid w:val="00D63521"/>
    <w:rsid w:val="00D64422"/>
    <w:rsid w:val="00D64B75"/>
    <w:rsid w:val="00D66001"/>
    <w:rsid w:val="00D66B03"/>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0D98"/>
    <w:rsid w:val="00DB15F4"/>
    <w:rsid w:val="00DB49EA"/>
    <w:rsid w:val="00DB5B1D"/>
    <w:rsid w:val="00DC37C4"/>
    <w:rsid w:val="00DC5B0B"/>
    <w:rsid w:val="00DC6EF9"/>
    <w:rsid w:val="00DD0CCF"/>
    <w:rsid w:val="00DD2BE8"/>
    <w:rsid w:val="00DD5153"/>
    <w:rsid w:val="00DE5516"/>
    <w:rsid w:val="00DF6BE1"/>
    <w:rsid w:val="00E034AF"/>
    <w:rsid w:val="00E048D9"/>
    <w:rsid w:val="00E05611"/>
    <w:rsid w:val="00E06B3B"/>
    <w:rsid w:val="00E073EF"/>
    <w:rsid w:val="00E13687"/>
    <w:rsid w:val="00E14725"/>
    <w:rsid w:val="00E14EA3"/>
    <w:rsid w:val="00E16F7A"/>
    <w:rsid w:val="00E238E2"/>
    <w:rsid w:val="00E23C92"/>
    <w:rsid w:val="00E23D4A"/>
    <w:rsid w:val="00E32F60"/>
    <w:rsid w:val="00E36181"/>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922"/>
    <w:rsid w:val="00EA7C20"/>
    <w:rsid w:val="00EB18B9"/>
    <w:rsid w:val="00EB286E"/>
    <w:rsid w:val="00EB2DDA"/>
    <w:rsid w:val="00EB61F2"/>
    <w:rsid w:val="00EB7B70"/>
    <w:rsid w:val="00EC04E6"/>
    <w:rsid w:val="00EC13C0"/>
    <w:rsid w:val="00EC2862"/>
    <w:rsid w:val="00EC298B"/>
    <w:rsid w:val="00EC64CD"/>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2417"/>
    <w:rsid w:val="00F37EB3"/>
    <w:rsid w:val="00F41CE8"/>
    <w:rsid w:val="00F45189"/>
    <w:rsid w:val="00F5674B"/>
    <w:rsid w:val="00F56876"/>
    <w:rsid w:val="00F63A2A"/>
    <w:rsid w:val="00F671C0"/>
    <w:rsid w:val="00F673E8"/>
    <w:rsid w:val="00F7059A"/>
    <w:rsid w:val="00F71301"/>
    <w:rsid w:val="00F77058"/>
    <w:rsid w:val="00F806F9"/>
    <w:rsid w:val="00F82FD6"/>
    <w:rsid w:val="00F8349C"/>
    <w:rsid w:val="00F9119D"/>
    <w:rsid w:val="00F912C7"/>
    <w:rsid w:val="00F91459"/>
    <w:rsid w:val="00F94999"/>
    <w:rsid w:val="00F94ED6"/>
    <w:rsid w:val="00F951D5"/>
    <w:rsid w:val="00F9721C"/>
    <w:rsid w:val="00F977CA"/>
    <w:rsid w:val="00FA6041"/>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B2">
    <w:name w:val="B2"/>
    <w:basedOn w:val="List2"/>
    <w:link w:val="B2Char"/>
    <w:rsid w:val="00F671C0"/>
    <w:pPr>
      <w:spacing w:after="180"/>
      <w:ind w:left="851" w:hanging="284"/>
      <w:contextualSpacing w:val="0"/>
    </w:pPr>
  </w:style>
  <w:style w:type="character" w:customStyle="1" w:styleId="B2Char">
    <w:name w:val="B2 Char"/>
    <w:link w:val="B2"/>
    <w:rsid w:val="00F671C0"/>
    <w:rPr>
      <w:lang w:val="en-GB"/>
    </w:rPr>
  </w:style>
  <w:style w:type="paragraph" w:styleId="List2">
    <w:name w:val="List 2"/>
    <w:basedOn w:val="Normal"/>
    <w:uiPriority w:val="99"/>
    <w:semiHidden/>
    <w:unhideWhenUsed/>
    <w:rsid w:val="00F671C0"/>
    <w:pPr>
      <w:ind w:left="720" w:hanging="360"/>
      <w:contextualSpacing/>
    </w:pPr>
  </w:style>
  <w:style w:type="character" w:styleId="PlaceholderText">
    <w:name w:val="Placeholder Text"/>
    <w:basedOn w:val="DefaultParagraphFont"/>
    <w:uiPriority w:val="99"/>
    <w:semiHidden/>
    <w:rsid w:val="001366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08006248">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1100</TotalTime>
  <Pages>2</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4958</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45</cp:revision>
  <cp:lastPrinted>2018-10-31T08:44:00Z</cp:lastPrinted>
  <dcterms:created xsi:type="dcterms:W3CDTF">2018-10-29T08:40:00Z</dcterms:created>
  <dcterms:modified xsi:type="dcterms:W3CDTF">2018-11-02T20:49:00Z</dcterms:modified>
</cp:coreProperties>
</file>